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8" w:rsidRDefault="005A1263" w:rsidP="0058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342658" w:rsidRDefault="005A1263" w:rsidP="0058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докладу главы </w:t>
      </w:r>
      <w:r w:rsidR="0034265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Дзержинского района о достигнутых значениях</w:t>
      </w:r>
    </w:p>
    <w:p w:rsidR="00342658" w:rsidRDefault="00342658" w:rsidP="0058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показателей </w:t>
      </w:r>
      <w:r w:rsidR="005A12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оценке эффективности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деятельности органов местного</w:t>
      </w:r>
    </w:p>
    <w:p w:rsidR="00342658" w:rsidRDefault="00342658" w:rsidP="0058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самоуправления городских округов и муниципальных районов </w:t>
      </w:r>
    </w:p>
    <w:p w:rsidR="005A1263" w:rsidRDefault="00342658" w:rsidP="0058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 2019 год и их планируемых значениях на 3-летний период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1263" w:rsidRDefault="00584641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главы</w:t>
      </w:r>
      <w:r w:rsidR="005A1263">
        <w:rPr>
          <w:rFonts w:ascii="Times New Roman CYR" w:hAnsi="Times New Roman CYR" w:cs="Times New Roman CYR"/>
          <w:sz w:val="28"/>
          <w:szCs w:val="28"/>
        </w:rPr>
        <w:t xml:space="preserve"> Дзержинского района о результатах мониторинга эффективности деятельности органов местного самоуправления городских округов и муниципальных районов   по итогам 2019 года (далее –   доклад) подготовлен в целях исполнения: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584641" w:rsidRPr="00584641" w:rsidRDefault="005A1263" w:rsidP="0034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временно исполняющим обязанности главы района, размещен на официальном сайте администрации района с адресом в информационно-телекоммуникационной сети Интернет - </w:t>
      </w:r>
      <w:hyperlink r:id="rId6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(раздел «Отдел экономики и труда»).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Pr="00342658" w:rsidRDefault="005A1263" w:rsidP="0034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5A1263" w:rsidRPr="00342658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34265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34265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краю, количество индивидуальных предпринимателей за   2019 год составило 235 ед.  (87 % к уровню 2018 года). Количество малых предприятий и </w:t>
      </w:r>
      <w:proofErr w:type="spellStart"/>
      <w:r w:rsidR="008C6947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2019 год составило 46 единиц, количество крестьянско-фермерских хозяйств - 10 единиц.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2019 году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226,22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прогнозируемом 2020 году ожидается увеличение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0,5 </w:t>
      </w:r>
      <w:r>
        <w:rPr>
          <w:rFonts w:ascii="Times New Roman CYR" w:hAnsi="Times New Roman CYR" w:cs="Times New Roman CYR"/>
          <w:sz w:val="28"/>
          <w:szCs w:val="28"/>
        </w:rPr>
        <w:t xml:space="preserve">%, в 2021-2022гг. 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1,2 </w:t>
      </w:r>
      <w:r>
        <w:rPr>
          <w:rFonts w:ascii="Times New Roman CYR" w:hAnsi="Times New Roman CYR" w:cs="Times New Roman CYR"/>
          <w:sz w:val="28"/>
          <w:szCs w:val="28"/>
        </w:rPr>
        <w:t xml:space="preserve">%. Увеличение планируется за счет снижения   </w:t>
      </w:r>
      <w:r w:rsidR="00584641">
        <w:rPr>
          <w:rFonts w:ascii="Times New Roman CYR" w:hAnsi="Times New Roman CYR" w:cs="Times New Roman CYR"/>
          <w:sz w:val="28"/>
          <w:szCs w:val="28"/>
        </w:rPr>
        <w:t>численности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A1263" w:rsidRPr="00584641" w:rsidRDefault="005A1263" w:rsidP="00584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торговли. Торговля и сфера услуг являются наиболее предпочтительными для малых предприятий.  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Pr="000F3413" w:rsidRDefault="005A1263" w:rsidP="000F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</w:t>
      </w: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2019 году среднесписочная численность работников (без внешних совместителей) малых и средних предприятий с учетом </w:t>
      </w:r>
      <w:proofErr w:type="spellStart"/>
      <w:r w:rsidR="008C6947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1074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34,1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Поддержка и развитие малого и среднего </w:t>
      </w:r>
      <w:r w:rsidR="008C6947">
        <w:rPr>
          <w:rFonts w:ascii="Times New Roman CYR" w:hAnsi="Times New Roman CYR" w:cs="Times New Roman CYR"/>
          <w:color w:val="000000"/>
          <w:sz w:val="28"/>
          <w:szCs w:val="28"/>
        </w:rPr>
        <w:t>предпринимательства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мероприятий муниципальной целевой </w:t>
      </w:r>
      <w:r w:rsidR="008C6947">
        <w:rPr>
          <w:rFonts w:ascii="Times New Roman CYR" w:hAnsi="Times New Roman CYR" w:cs="Times New Roman CYR"/>
          <w:color w:val="000000"/>
          <w:sz w:val="28"/>
          <w:szCs w:val="28"/>
        </w:rPr>
        <w:t>программы</w:t>
      </w:r>
      <w:r w:rsidR="008C6947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2014-2022 годы».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сумма поддержки в 2019 году составила 12 206,2 тыс. рублей, в том числе: за счет средств местного бюджета - 248,2 тыс. рублей, краевого бюджета - 11 958,00 тыс. рублей.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Поддержка оказана 4 субъектам малого предпринимательства.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Результатом реализации программы в 2019 году стало создание на территории района 3 рабочих мест, сохранено 235 рабочих места и привлечение инвестиций в размере 24,104 млн. рублей.  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</w:t>
      </w:r>
      <w:r w:rsidR="008C6947">
        <w:rPr>
          <w:rFonts w:ascii="Times New Roman CYR" w:hAnsi="Times New Roman CYR" w:cs="Times New Roman CYR"/>
          <w:sz w:val="28"/>
          <w:szCs w:val="28"/>
        </w:rPr>
        <w:t>инвестиций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капитал малых организаций.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821"/>
        <w:gridCol w:w="821"/>
        <w:gridCol w:w="864"/>
        <w:gridCol w:w="959"/>
        <w:gridCol w:w="959"/>
      </w:tblGrid>
      <w:tr w:rsidR="005A1263" w:rsidTr="005A1263">
        <w:trPr>
          <w:trHeight w:val="296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5A1263" w:rsidTr="005A1263">
        <w:trPr>
          <w:trHeight w:val="627"/>
        </w:trPr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 факт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факт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 оценка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прогноз</w:t>
            </w:r>
          </w:p>
        </w:tc>
      </w:tr>
      <w:tr w:rsidR="005A1263" w:rsidTr="005A1263">
        <w:trPr>
          <w:trHeight w:val="282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</w:tr>
      <w:tr w:rsidR="005A1263" w:rsidTr="005A1263">
        <w:trPr>
          <w:trHeight w:val="29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Количество средних предприятий,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Количество индивидуальных предпринимателей,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Количество крестьянско-фермерских хозяйств,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Численность постоянного населения муниципального образования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12446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 Число субъектов малого и среднего предпринимательства, ед. на 10 000 чел. ((стр.1+стр.2+стр.3+стр.4)/стр.5*10 000)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227,42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233,01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>у индивидуальных предпринимателей (наемных работников),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>в крестьянско-фермерских хозяйствах,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 Среднесписочная численность работников средних предприятий,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11.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 xml:space="preserve">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2068</w:t>
            </w:r>
          </w:p>
        </w:tc>
      </w:tr>
      <w:tr w:rsidR="005A1263" w:rsidTr="005A1263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((стр.3+стр.7+стр.8+стр.9+стр.10 / (стр.3+стр.7+стр.8+стр.9+стр.11)*100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33,8</w:t>
            </w:r>
          </w:p>
        </w:tc>
      </w:tr>
    </w:tbl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Pr="000F341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Объем инвестиций в основной капитал (за исключением бюджетных средств) в расчете на 1 человека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в экономику района привлечено 116 764,0 тыс. рублей инвестиций в основной капитал за счет всех источников финансирования, к уровню 2018 года увеличение в 2,3 раза в действующих ценах, в сопоставимых ценах в 2,2 раза (в 2018 году 50 634,0 тыс. рублей, в 2017 году   73 543,0 тыс. рублей). Объем инвестиций в основной капитал (за исключением бюджетных средств) составляет 5628,91 рублей в расчете на 1 жителя района, что больше данного показателя 2018 года в 2,3 раза в действующих ценах, в сопоставимых ценах в 2 раза или 2500,42 рублей. В отчетном периоде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начительный рост инвестиций произошёл по таким видам деятельности, как: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«Обеспечение электрической энергией, газом и паром; кондиционирование воздуха» и составил 42 362 тыс. рублей (239,9</w:t>
      </w:r>
      <w:r w:rsidR="008314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сопоставимых ценах к 2018 году). </w:t>
      </w:r>
      <w:r w:rsidRPr="005A1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Произведены работы </w:t>
      </w:r>
      <w:r w:rsidR="008C6947">
        <w:rPr>
          <w:rFonts w:ascii="Times New Roman CYR" w:hAnsi="Times New Roman CYR" w:cs="Times New Roman CYR"/>
          <w:color w:val="000000"/>
          <w:sz w:val="28"/>
          <w:szCs w:val="28"/>
        </w:rPr>
        <w:t>по замене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линии электропередач в с. Орловка, реконструкция линий электропередач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Ашпатск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с. Березовка и частичная реконструкция подстанций в с. Дзержинское.</w:t>
      </w:r>
    </w:p>
    <w:p w:rsidR="005A1263" w:rsidRDefault="005A1263" w:rsidP="005A1263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6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«Сельское, лесное хозяйство, охота, рыболовства и рыбоводства» составил 23 753 тыс. рублей (449,8</w:t>
      </w:r>
      <w:r w:rsidR="008314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 в сопоставимых ценах к 2018 году).  Приобретение в ООО Совхоз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Денисовский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оборудования для переработки молока, для колбасного цеха. Строительство коровника на 200 голов, реконструкция свинофермы для содержания маточного поголовья, а также реконструкция цеха по переработке молока и колбасного цеха.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«Образование» в 2019 году объем инвестиций составил 9 896 тыс. рублей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(197,43</w:t>
      </w:r>
      <w:r w:rsidR="008314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сопоставимых ценах к 2018 году). Начато строительство </w:t>
      </w:r>
      <w:r>
        <w:rPr>
          <w:rFonts w:ascii="Times New Roman CYR" w:hAnsi="Times New Roman CYR" w:cs="Times New Roman CYR"/>
          <w:sz w:val="28"/>
          <w:szCs w:val="28"/>
        </w:rPr>
        <w:t>быстровозводимого спортивного зала Денисовкой СОШ.</w:t>
      </w:r>
    </w:p>
    <w:p w:rsidR="005A1263" w:rsidRDefault="005A1263" w:rsidP="005A1263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6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«Деятельность в области здравоохранения и социальных услуг» составил 26 995 тыс. рублей (239,47 % в сопоставимых ценах к 2018 году). Завершено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строительство 3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ФАПов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(п. Новый, д. Батов,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Топол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оснащение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ФАПов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оборудованием и мебелью, оборудование для детской поликлиники.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за счет бюджетных средств в 2019 году составил 43 667,0 тыс. рублей, к уровню 2018 года увеличение в 2,5 раза (в 2018 году 17 731,0 тыс. рублей, в 2017 году 19 330,0 тыс. рублей). В 2018 году в сфере образования выполнены текущие ремонты в школах, устранены предписания надзорных органов к зданиям (ремонт кровли крыши, замена оконных стекол); в области культура в рамках реализации государственной программы Красноярского края "Развитие культуры и туризма" проведен капитальный ремонт СДК, для библиотек приобретены книги.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2019 году в сфере образования   устранены предписания надзорных органов (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приобретено технологическое оборудование на пищеблок, произведен монтаж эвакуационной лестницы и противопожарной двери, восстановлена система автоматической пожарной сигнализации и др.), в детском саду произведен капитальный ремонт крыши, проведены мероприятия, направленные на обеспечение безопасного участия детей в дорожном движении, произведена установка автоматических твердотопливных котлов, работающих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пеллетах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в детском саду  и в Центре внешкольной работы, началось основное строительство быстровозводимого спортивного зала Денисовкой СОШ, в учреждениях дополнительного образования произведены ремонты спортивного зала, септиков, санитарных комнат;  в области культуры по государственной программе «Развитие культуры и туризма» укрепление материально-технической базы  СДК. Проведены ремонтные работы в сельском клубе, приобретены кресла в зрительный зал СДК, отремонтированы крыши 5 клубов. Проведены текущие ремонты во всех учреждениях культурно-досугового типа. Разработана проектно-сметная документация на реконструкцию здания СДК.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2020 года привлечение инвестиций планируется в объеме 53 102 тыс. рублей, за счет </w:t>
      </w:r>
      <w:r w:rsidR="008C6947">
        <w:rPr>
          <w:rFonts w:ascii="Times New Roman CYR" w:hAnsi="Times New Roman CYR" w:cs="Times New Roman CYR"/>
          <w:sz w:val="28"/>
          <w:szCs w:val="28"/>
        </w:rPr>
        <w:t>строительства быстровозводимого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спортивного зала </w:t>
      </w:r>
      <w:r>
        <w:rPr>
          <w:rFonts w:ascii="Times New Roman CYR" w:hAnsi="Times New Roman CYR" w:cs="Times New Roman CYR"/>
          <w:sz w:val="28"/>
          <w:szCs w:val="28"/>
        </w:rPr>
        <w:t>Денисовкой СОШ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913,3 кв. м.; строительство детского сада в с. Дзержинское на 190 мест. В прогнозируемом периоде в 2021 году строительство детского сада – 60,0 млн. рублей, а в 2022 году – 149,0 млн. рублей.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992"/>
        <w:gridCol w:w="1276"/>
        <w:gridCol w:w="992"/>
        <w:gridCol w:w="1134"/>
        <w:gridCol w:w="1134"/>
        <w:gridCol w:w="1134"/>
      </w:tblGrid>
      <w:tr w:rsidR="005A1263" w:rsidTr="00EC7F6B">
        <w:trPr>
          <w:trHeight w:val="365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5A1263" w:rsidTr="00EC7F6B"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63" w:rsidRDefault="005A1263">
            <w:pPr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прогноз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121084,23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130565,55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222247,04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Темп роста в действующих ценах, к соответствующему </w:t>
            </w: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>периоду предыдущего года,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170,22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Темп роста в сопоставимых ценах, к соответствующему периоду предыдущего года,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163,99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149000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67982,23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70565,55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73247,04</w:t>
            </w:r>
          </w:p>
        </w:tc>
      </w:tr>
      <w:tr w:rsidR="005A1263" w:rsidTr="00EC7F6B">
        <w:trPr>
          <w:trHeight w:val="43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</w:rPr>
              <w:t>численность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12522</w:t>
            </w:r>
          </w:p>
        </w:tc>
      </w:tr>
      <w:tr w:rsidR="005A1263" w:rsidTr="00EC7F6B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4071,88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263" w:rsidRDefault="005A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5849,47</w:t>
            </w:r>
          </w:p>
        </w:tc>
      </w:tr>
    </w:tbl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Pr="000F3413" w:rsidRDefault="005A1263" w:rsidP="000F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5A1263" w:rsidRPr="000F3413" w:rsidRDefault="005A1263" w:rsidP="000F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2019 год доля площади земельных участков, являющихся объектами налогообложения земельным </w:t>
      </w:r>
      <w:r w:rsidR="008C6947">
        <w:rPr>
          <w:rFonts w:ascii="Times New Roman CYR" w:hAnsi="Times New Roman CYR" w:cs="Times New Roman CYR"/>
          <w:sz w:val="28"/>
          <w:szCs w:val="28"/>
        </w:rPr>
        <w:t>налогом,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площади территории района осталась на уровне</w:t>
      </w:r>
      <w:r w:rsidR="000F3413">
        <w:rPr>
          <w:rFonts w:ascii="Times New Roman CYR" w:hAnsi="Times New Roman CYR" w:cs="Times New Roman CYR"/>
          <w:sz w:val="28"/>
          <w:szCs w:val="28"/>
        </w:rPr>
        <w:t xml:space="preserve"> 2018 года и составила 17,02 %.</w:t>
      </w:r>
    </w:p>
    <w:p w:rsidR="005A1263" w:rsidRPr="000F3413" w:rsidRDefault="005A1263" w:rsidP="000F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прибыльных сельскохозяйственных организаций в общем их числе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Дзержинский район сельскохозяйственный, занимается растениеводством и животноводством. В сводной годовой бухгалтерской отчетности за 2019 год по району включено 12 сельскохозяйственных предприятий различных организационно - правовых форм и форм собственности, из которых 12 предприятий (100 % от общего числа) получили прибыль по итогам года.</w:t>
      </w:r>
    </w:p>
    <w:p w:rsidR="005A1263" w:rsidRPr="008D0A82" w:rsidRDefault="005A1263" w:rsidP="008D0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бюджетов.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2014-2030 годы субъектам агропромышленного комплекса в 2019 году была оказана государственная поддержка в объеме 75475,84268 тыс. рублей, в том числе за счет средств краевого бюджета - 58328,99349 тыс. рублей, за счет средств федерального бю</w:t>
      </w:r>
      <w:r w:rsidR="008D0A82">
        <w:rPr>
          <w:rFonts w:ascii="Times New Roman CYR" w:hAnsi="Times New Roman CYR" w:cs="Times New Roman CYR"/>
          <w:sz w:val="28"/>
          <w:szCs w:val="28"/>
        </w:rPr>
        <w:t>джета - 17146,84919 тыс. рублей.</w:t>
      </w:r>
    </w:p>
    <w:p w:rsidR="005A1263" w:rsidRPr="000F3413" w:rsidRDefault="005A1263" w:rsidP="00FF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5A1263" w:rsidRDefault="000F3413" w:rsidP="005A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          </w:t>
      </w:r>
      <w:r w:rsidR="005A1263">
        <w:rPr>
          <w:rFonts w:ascii="Times New Roman CYR" w:hAnsi="Times New Roman CYR" w:cs="Times New Roman CYR"/>
          <w:sz w:val="28"/>
          <w:szCs w:val="28"/>
        </w:rPr>
        <w:t xml:space="preserve">Общая протяженность автомобильных дорог общего пользования Дзержинского района по состоянию на </w:t>
      </w:r>
      <w:r w:rsidR="005A1263">
        <w:rPr>
          <w:rFonts w:ascii="Times New Roman CYR" w:hAnsi="Times New Roman CYR" w:cs="Times New Roman CYR"/>
          <w:sz w:val="28"/>
          <w:szCs w:val="28"/>
          <w:highlight w:val="white"/>
        </w:rPr>
        <w:t xml:space="preserve">01.01.2020 составила 577,98 км, из </w:t>
      </w:r>
      <w:r w:rsidR="008C6947">
        <w:rPr>
          <w:rFonts w:ascii="Times New Roman CYR" w:hAnsi="Times New Roman CYR" w:cs="Times New Roman CYR"/>
          <w:sz w:val="28"/>
          <w:szCs w:val="28"/>
          <w:highlight w:val="white"/>
        </w:rPr>
        <w:t>которых 262</w:t>
      </w:r>
      <w:r w:rsidR="005A1263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км –  дороги местного значения.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общего пользования местного значения, не отвечающих нормативным требованиям, составила в 2019 году 72,4</w:t>
      </w:r>
      <w:r w:rsidR="00FF17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% (189,7 км) в общей протяженности автомобильных дорог общего пользования местного значения. 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2019 году бюджету района предоставлено субсидий на ремонт и содержание улично-дорожной сети в рамках реализации государственной программы Красноярского края «Развитие транспортной системы» – на общую сумму 6</w:t>
      </w:r>
      <w:r w:rsidR="00FF1736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954</w:t>
      </w:r>
      <w:r w:rsidR="00FF1736">
        <w:rPr>
          <w:rFonts w:ascii="Times New Roman CYR" w:hAnsi="Times New Roman CYR" w:cs="Times New Roman CYR"/>
          <w:sz w:val="28"/>
          <w:szCs w:val="28"/>
        </w:rPr>
        <w:t>, 779 тыс.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  В результате проведенных работ приведено в соответствие с требованиями нормативов порядка 6 388 м улично-дорожной сети района.</w:t>
      </w:r>
    </w:p>
    <w:p w:rsidR="005A1263" w:rsidRPr="000F3413" w:rsidRDefault="005A1263" w:rsidP="000F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A1263" w:rsidRPr="000F3413" w:rsidRDefault="005A1263" w:rsidP="000F34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выполнение муниципальных программ пассажирских перевозок автомобильным транспортом. В 2019 году на данные цели было выделено 15 680,9 тыс. рублей. </w:t>
      </w:r>
    </w:p>
    <w:p w:rsidR="005A1263" w:rsidRPr="000F3413" w:rsidRDefault="005A1263" w:rsidP="000F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41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Среднемесячная номинальная начисленная заработная плата работников:</w:t>
      </w:r>
    </w:p>
    <w:p w:rsidR="005A1263" w:rsidRDefault="005A1263" w:rsidP="000F3413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Изменению уровня жизни населения способствует рост заработной платы. В 2019 году была сохранена положительная динамика роста доходов населения.  Среднемесячная номинальная заработная плата работников за 2019 год крупных и средних предприятий и некоммерческих организаций составила 34 048,9 рублей, темп роста к уровню прошлого года составил 13,1 %.</w:t>
      </w:r>
    </w:p>
    <w:p w:rsidR="005A1263" w:rsidRDefault="000F3413" w:rsidP="000F3413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A1263">
        <w:rPr>
          <w:rFonts w:ascii="Times New Roman CYR" w:hAnsi="Times New Roman CYR" w:cs="Times New Roman CYR"/>
          <w:sz w:val="28"/>
          <w:szCs w:val="28"/>
        </w:rPr>
        <w:t xml:space="preserve">Рост заработной платы обусловлен индексацией оплаты труда отдельных </w:t>
      </w:r>
      <w:r w:rsidR="005A1263">
        <w:rPr>
          <w:rFonts w:ascii="Times New Roman CYR" w:hAnsi="Times New Roman CYR" w:cs="Times New Roman CYR"/>
          <w:sz w:val="28"/>
          <w:szCs w:val="28"/>
        </w:rPr>
        <w:lastRenderedPageBreak/>
        <w:t xml:space="preserve">категорий работников бюджетной </w:t>
      </w:r>
      <w:r w:rsidR="008C6947">
        <w:rPr>
          <w:rFonts w:ascii="Times New Roman CYR" w:hAnsi="Times New Roman CYR" w:cs="Times New Roman CYR"/>
          <w:sz w:val="28"/>
          <w:szCs w:val="28"/>
          <w:highlight w:val="white"/>
        </w:rPr>
        <w:t>сферы с</w:t>
      </w:r>
      <w:r w:rsidR="005A1263">
        <w:rPr>
          <w:rFonts w:ascii="Times New Roman CYR" w:hAnsi="Times New Roman CYR" w:cs="Times New Roman CYR"/>
          <w:sz w:val="28"/>
          <w:szCs w:val="28"/>
          <w:highlight w:val="white"/>
        </w:rPr>
        <w:t xml:space="preserve"> 01.10.2019 на 4,3 % и повышением МРОТ в 2019 году с 11 163 рублей до 11 280 рублей.</w:t>
      </w:r>
    </w:p>
    <w:p w:rsidR="005A1263" w:rsidRDefault="000F3413" w:rsidP="000F3413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A1263">
        <w:rPr>
          <w:rFonts w:ascii="Times New Roman CYR" w:hAnsi="Times New Roman CYR" w:cs="Times New Roman CYR"/>
          <w:sz w:val="28"/>
          <w:szCs w:val="28"/>
        </w:rPr>
        <w:t>Оценка среднемесячной номинальной заработной платы на 2020 год составила 35 955,64 рублей, темп роста к уровню 2019 года - 105,6 %. Прогноз среднемесячной номинальной заработной платы на 2021 год - 38 041,07 рублей, темп роста 105,8 %; на 2022 год - 40 399,61 рублей, темп роста 106,2 %.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Темпы роста заработной платы в прогнозном периоде будут сохранены в результате </w:t>
      </w:r>
      <w:r w:rsidR="008C6947">
        <w:rPr>
          <w:rFonts w:ascii="Times New Roman CYR" w:hAnsi="Times New Roman CYR" w:cs="Times New Roman CYR"/>
          <w:sz w:val="28"/>
          <w:szCs w:val="28"/>
        </w:rPr>
        <w:t>сохранения достигнутых</w:t>
      </w:r>
      <w:r>
        <w:rPr>
          <w:rFonts w:ascii="Times New Roman CYR" w:hAnsi="Times New Roman CYR" w:cs="Times New Roman CYR"/>
          <w:sz w:val="28"/>
          <w:szCs w:val="28"/>
        </w:rPr>
        <w:t xml:space="preserve"> соотношений между уровнем оплаты труда отдельных категорий работников бюджетной сферы и уровнем средней заработной платы, с увелич</w:t>
      </w:r>
      <w:r w:rsidR="00CF3DE3">
        <w:rPr>
          <w:rFonts w:ascii="Times New Roman CYR" w:hAnsi="Times New Roman CYR" w:cs="Times New Roman CYR"/>
          <w:sz w:val="28"/>
          <w:szCs w:val="28"/>
        </w:rPr>
        <w:t>ением МРОТ ежегодно с 1 января.</w:t>
      </w:r>
    </w:p>
    <w:p w:rsidR="005A1263" w:rsidRPr="00CF3DE3" w:rsidRDefault="005A1263" w:rsidP="00CF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2019 году средняя заработная плата работников муниципальных дошкольных образовательных учреждений составила 29 175,</w:t>
      </w:r>
      <w:r w:rsidR="008C6947">
        <w:rPr>
          <w:rFonts w:ascii="Times New Roman CYR" w:hAnsi="Times New Roman CYR" w:cs="Times New Roman CYR"/>
          <w:sz w:val="28"/>
          <w:szCs w:val="28"/>
        </w:rPr>
        <w:t>1 рублей</w:t>
      </w:r>
      <w:r w:rsidR="008C6947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2018 год – 26 216,2 </w:t>
      </w:r>
      <w:r w:rsidR="008C6947">
        <w:rPr>
          <w:rFonts w:ascii="Times New Roman CYR" w:hAnsi="Times New Roman CYR" w:cs="Times New Roman CYR"/>
          <w:sz w:val="28"/>
          <w:szCs w:val="28"/>
        </w:rPr>
        <w:t>рублей, рост</w:t>
      </w:r>
      <w:r>
        <w:rPr>
          <w:rFonts w:ascii="Times New Roman CYR" w:hAnsi="Times New Roman CYR" w:cs="Times New Roman CYR"/>
          <w:sz w:val="28"/>
          <w:szCs w:val="28"/>
        </w:rPr>
        <w:t xml:space="preserve"> на 11,3 %)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</w:t>
      </w:r>
      <w:r w:rsidR="008C6947">
        <w:rPr>
          <w:rFonts w:ascii="Times New Roman CYR" w:hAnsi="Times New Roman CYR" w:cs="Times New Roman CYR"/>
          <w:sz w:val="28"/>
          <w:szCs w:val="28"/>
        </w:rPr>
        <w:t>работников крупных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средних предприятий и некоммерческих о</w:t>
      </w:r>
      <w:r w:rsidR="00CF3DE3">
        <w:rPr>
          <w:rFonts w:ascii="Times New Roman CYR" w:hAnsi="Times New Roman CYR" w:cs="Times New Roman CYR"/>
          <w:sz w:val="28"/>
          <w:szCs w:val="28"/>
        </w:rPr>
        <w:t xml:space="preserve">рганизаций составляет 85,7 %. 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2019 году уровень средней заработной платы работников муниципальных общеобразовательных учреждений </w:t>
      </w:r>
      <w:r w:rsidR="008C6947">
        <w:rPr>
          <w:rFonts w:ascii="Times New Roman CYR" w:hAnsi="Times New Roman CYR" w:cs="Times New Roman CYR"/>
          <w:sz w:val="28"/>
          <w:szCs w:val="28"/>
        </w:rPr>
        <w:t>составил 34</w:t>
      </w:r>
      <w:r>
        <w:rPr>
          <w:rFonts w:ascii="Times New Roman CYR" w:hAnsi="Times New Roman CYR" w:cs="Times New Roman CYR"/>
          <w:sz w:val="28"/>
          <w:szCs w:val="28"/>
        </w:rPr>
        <w:t xml:space="preserve"> 347,</w:t>
      </w:r>
      <w:r w:rsidR="008C6947">
        <w:rPr>
          <w:rFonts w:ascii="Times New Roman CYR" w:hAnsi="Times New Roman CYR" w:cs="Times New Roman CYR"/>
          <w:sz w:val="28"/>
          <w:szCs w:val="28"/>
        </w:rPr>
        <w:t>6 рублей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2018 год – 30 702,3 рубля, рост – 11,9 %)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100,9 %, учителей – 122,5 %. 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2019 году среднемесячная номинальная заработная </w:t>
      </w:r>
      <w:r w:rsidR="008C6947">
        <w:rPr>
          <w:rFonts w:ascii="Times New Roman CYR" w:hAnsi="Times New Roman CYR" w:cs="Times New Roman CYR"/>
          <w:sz w:val="28"/>
          <w:szCs w:val="28"/>
        </w:rPr>
        <w:t>плата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</w:t>
      </w:r>
      <w:r w:rsidR="008C6947">
        <w:rPr>
          <w:rFonts w:ascii="Times New Roman CYR" w:hAnsi="Times New Roman CYR" w:cs="Times New Roman CYR"/>
          <w:sz w:val="28"/>
          <w:szCs w:val="28"/>
        </w:rPr>
        <w:t>учреждениях культуры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28 813,98 рублей, рост заработной платы по отношению к 2018 году составил 109,8 %.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Pr="00C67386" w:rsidRDefault="005A1263" w:rsidP="00C67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CF3DE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лет.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По состоянию на 1 января 2020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665 мест</w:t>
      </w:r>
      <w:r>
        <w:rPr>
          <w:rFonts w:ascii="Times New Roman CYR" w:hAnsi="Times New Roman CYR" w:cs="Times New Roman CYR"/>
          <w:sz w:val="24"/>
          <w:szCs w:val="24"/>
        </w:rPr>
        <w:t>. К</w:t>
      </w:r>
      <w:r>
        <w:rPr>
          <w:rFonts w:ascii="Times New Roman CYR" w:hAnsi="Times New Roman CYR" w:cs="Times New Roman CYR"/>
          <w:sz w:val="28"/>
          <w:szCs w:val="28"/>
        </w:rPr>
        <w:t>оличество детей, посещающих детские учреждения 635 детей. Доля детей в возрасте 1 - 6 лет, получающих дошкольную образовательную услугу в общей численности детей в возрасте 1 - 6 лет, составляет 55,4</w:t>
      </w:r>
      <w:r w:rsidR="00C6738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CF3DE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5A1263" w:rsidRPr="00D61539" w:rsidRDefault="005A1263" w:rsidP="00D6153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0,87</w:t>
      </w:r>
      <w:r w:rsidR="00C6738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%. В натуральном выражении – 10 детей, из них дети в возрасте от 3 до 7 лет – отсутствуют.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CF3DE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 из причин нехватки мест в дошкольные образовательные учреждения является неудовлетворительное состояние зданий, в которых размещаются эти учреждения.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Здания МБДОУ «Дзержинский детский сад № 4 «Березка» требует капитального ремонта. Доля муниципальных дошкольных образовательных учреждений, здания которых требуют капитального ремонта, составляет 20</w:t>
      </w:r>
      <w:r w:rsidR="00F566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%.                        </w:t>
      </w:r>
    </w:p>
    <w:p w:rsidR="005A1263" w:rsidRPr="00CF3DE3" w:rsidRDefault="005A1263" w:rsidP="00CF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</w:t>
      </w:r>
      <w:r w:rsidR="00CF3DE3">
        <w:rPr>
          <w:rFonts w:ascii="Times New Roman CYR" w:hAnsi="Times New Roman CYR" w:cs="Times New Roman CYR"/>
          <w:sz w:val="28"/>
          <w:szCs w:val="28"/>
        </w:rPr>
        <w:t xml:space="preserve">енной мебелью и компьютерами.  </w:t>
      </w:r>
    </w:p>
    <w:p w:rsidR="005A1263" w:rsidRDefault="005A1263" w:rsidP="005A1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A1263" w:rsidRDefault="005A1263" w:rsidP="00F56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CF3DE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общего образования Дзержинского района функционируют восемь общеобразовательных школ, которые имеют два филиала; два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 дополнительного образования (ДЮСШ, ЦВР).     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выпускников общеобразовательных школ района 79 человек, из них пять человек не получили аттестат о среднем общем образовании.     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Аттестат о среднем общем образовании получили 74 (93,7</w:t>
      </w:r>
      <w:r w:rsidR="00F566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%) выпускника общеобразовательных школ. Доля выпускников, не получивших аттестат о</w:t>
      </w:r>
      <w:r w:rsidR="00F5662D">
        <w:rPr>
          <w:rFonts w:ascii="Times New Roman CYR" w:hAnsi="Times New Roman CYR" w:cs="Times New Roman CYR"/>
          <w:sz w:val="28"/>
          <w:szCs w:val="28"/>
        </w:rPr>
        <w:t>б общем образовании в 2018 году</w:t>
      </w:r>
      <w:r>
        <w:rPr>
          <w:rFonts w:ascii="Times New Roman CYR" w:hAnsi="Times New Roman CYR" w:cs="Times New Roman CYR"/>
          <w:sz w:val="28"/>
          <w:szCs w:val="28"/>
        </w:rPr>
        <w:t xml:space="preserve"> - 6,3</w:t>
      </w:r>
      <w:r w:rsidR="00F566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%.      </w:t>
      </w:r>
    </w:p>
    <w:p w:rsidR="005A1263" w:rsidRPr="00CF3DE3" w:rsidRDefault="005A1263" w:rsidP="00CF3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CF3DE3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5A1263" w:rsidRDefault="005A1263" w:rsidP="005A126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D61539" w:rsidRDefault="009D29CF" w:rsidP="00D6153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настоящее время все школы района обеспечены необходимым комплектом оборудования для реализации федеральных государственных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образовательных стандартов начального и основного общего образования. Все учащиеся школ района обеспечены бесплатными учебниками по обязательным для изучения предметам в полном объёме.</w:t>
      </w:r>
    </w:p>
    <w:p w:rsidR="009D29CF" w:rsidRPr="00A575E5" w:rsidRDefault="009D29CF" w:rsidP="00D6153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75</w:t>
      </w:r>
      <w:r w:rsidR="00C3520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% общеобразовательных учреждений района имеются физкультурные залы.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75</w:t>
      </w:r>
      <w:r w:rsidR="00C352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%.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CF3DE3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 состоянию на 01.01.2020 года отсутствуют аварийные или требующие капитального ремонта здания общеобразовательных учреждений района.   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CF3DE3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Доля детей первой и второй групп здоровья в общей численности, </w:t>
      </w:r>
      <w:r w:rsidR="001B64E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обучающихся 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муниципальных общеобразовательных</w:t>
      </w:r>
      <w:r w:rsidR="00CF3DE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учреждениях, составила 73,2 %.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 w:rsidRPr="00CF3DE3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составила 8 %.  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9D29CF" w:rsidRPr="00CF3DE3" w:rsidRDefault="009D29CF" w:rsidP="00CF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Обучение в третью смену в общеобразовательных учрежд</w:t>
      </w:r>
      <w:r w:rsidR="00CF3DE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ениях района не осуществляется.</w:t>
      </w:r>
    </w:p>
    <w:p w:rsidR="00A575E5" w:rsidRDefault="009D29CF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CF3DE3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9D29CF" w:rsidRPr="00A575E5" w:rsidRDefault="00A575E5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  <w:t xml:space="preserve">             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 итогам 2019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46,91 тыс. рублей. </w:t>
      </w:r>
    </w:p>
    <w:p w:rsidR="00A575E5" w:rsidRDefault="009D29CF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 w:rsidRPr="00A575E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lastRenderedPageBreak/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9D29CF" w:rsidRPr="00A575E5" w:rsidRDefault="00A575E5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  <w:t xml:space="preserve">                       </w:t>
      </w:r>
      <w:r w:rsidR="009D29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«</w:t>
      </w:r>
      <w:proofErr w:type="spellStart"/>
      <w:r w:rsidR="009D29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Детско</w:t>
      </w:r>
      <w:proofErr w:type="spellEnd"/>
      <w:r w:rsidR="009D29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–юношеская спортивная школа», МБОУ ДОД «Дзержинская школа искусств», находящихся в ведении органа управления культуры, а также учреждениями МБОУ Дзержинская СШ № 2, и МБДОУ д/с № 3 «Тополек», и кружками и секциями на базе образовательных учреждений.</w:t>
      </w:r>
    </w:p>
    <w:p w:rsidR="009D29CF" w:rsidRPr="00A575E5" w:rsidRDefault="009D29CF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В учреждениях дополнительного образования в объединениях технического творчества, спортивного, культурологического, социально-педагогического и художественно-эстетического творчества занимаются </w:t>
      </w:r>
      <w:r w:rsidR="00B078F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1546 детей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Существующая в районе система дополнительного образов</w:t>
      </w:r>
      <w:r w:rsidR="00DC189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ания обеспечивает занятость 43,44</w:t>
      </w:r>
      <w:r w:rsidR="00A575E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% школьников. </w:t>
      </w:r>
    </w:p>
    <w:p w:rsidR="009D29CF" w:rsidRDefault="009D29CF" w:rsidP="00A57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IV. Культура</w:t>
      </w:r>
    </w:p>
    <w:p w:rsidR="009D29CF" w:rsidRPr="00A575E5" w:rsidRDefault="009D29CF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 w:rsidRPr="00A575E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Уровень фактической обеспеченности учреждениями культуры от нормативной потребности: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2019 году сеть муниципальных учреждений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культуры состояла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из 48 учреждений, в том числе 23 учреждения культурно-досугового типа, 23 библиотек, 1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музея, 1 детской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школы искусств.  </w:t>
      </w:r>
    </w:p>
    <w:p w:rsidR="00BB1BDC" w:rsidRPr="00A575E5" w:rsidRDefault="009D29CF" w:rsidP="00BB1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В целях развития материально-технической базы учреждений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культуры 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 образовательных организаций в области культуры, поддержки творческих инициатив населения   в 2019 году предоставлены субсидии в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объеме более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12 млн. рублей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создание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проекто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сметной документации на реконструкцию сельского дома культуры, приобретение кресел для зрительного зала, комплектование книжных фондов, на модернизацию зрительного зала под кинозал, текущие ремонты сельских домов культуры и библиотек.</w:t>
      </w:r>
    </w:p>
    <w:p w:rsidR="00BB1BDC" w:rsidRPr="00A575E5" w:rsidRDefault="00BB1BDC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Уровень фактической обеспеченности клубами и учреждениями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клубного типа</w:t>
      </w:r>
      <w:r w:rsidR="00A575E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составляет 100%.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</w:t>
      </w:r>
    </w:p>
    <w:p w:rsidR="00BB1BDC" w:rsidRDefault="00BB1BDC" w:rsidP="00A5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Обеспеченность библиотеками </w:t>
      </w:r>
      <w:r w:rsidR="00A575E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соответствует нормативу - 100%.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575E5" w:rsidRDefault="00BB1BDC" w:rsidP="00A575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Парков культуры и отдыха на территории района нет.</w:t>
      </w:r>
    </w:p>
    <w:p w:rsidR="009D29CF" w:rsidRPr="00A575E5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A575E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01.01.2020 капитального ремонта требуют 22 здания учреждений культурно-досугового типа.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Доля муниципальных учреждений культуры, здания которых находятся в аварийном состоянии или требуют капитального 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ремонта, составляет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44,9</w:t>
      </w:r>
      <w:r w:rsidR="00BB1BD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D6153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%.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 xml:space="preserve"> Доля объектов культурного наследия, находящихся в муниципальной собственности и требующих консервации или реставрации, в общем </w:t>
      </w: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lastRenderedPageBreak/>
        <w:t>количестве объектов культурного наследия, находящихся в муниципальной собственности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В собственности муниципального образования Дзержинский район находится семь объектов культурного наследия. 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нет.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lang w:eastAsia="en-US"/>
        </w:rPr>
      </w:pPr>
    </w:p>
    <w:p w:rsidR="009D29CF" w:rsidRDefault="009D29CF" w:rsidP="00D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V. Физическая культура и спорт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населения, систематически занимающегося физической культурой и спортом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состоянию на 01.01.2020 количество спортивных сооружений в районе составило 37 единиц, в том числе 23 плоскостных спортивных сооружений, 9 спортивных залов, 1 лыжная база, МБУ ДО «ДЮСШ», ФСК «Мечта», ФСК «Бригантина».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Основой для вовлечения максимального количества жителей района в занятия физической культурой и спортом, помимо занятий, проводимых в 8 общеобразовательных учреждениях и 4 дошкольных учреждениях, </w:t>
      </w:r>
      <w:r w:rsidR="00DF7F4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является также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работа МБУДО «Детско-юношеская спортивная школа», ФСК «Мечта», ФСК «Бригантина», проведение спортивно-массовых мероприятий в которых принимают участие жители Дзержинского района.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2019 году на территории района организовано и проведено 56 муниципальных физкультурных и спортивных мероприятий с общим количеством участников 500 человек.</w:t>
      </w:r>
    </w:p>
    <w:p w:rsidR="009D29CF" w:rsidRPr="00D47FDE" w:rsidRDefault="009D29CF" w:rsidP="00D4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Доля населения, систематически занимающегося физической культурой и спортом, в общей численности населения района в 2019 году составила 35,33</w:t>
      </w:r>
      <w:r w:rsidR="00DF7F4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(4290 человек от численности населения в возрасте 3-79 лет – 12141 чел.) (в 2018 году – 33,69 %). Наблюдается положительная динамика.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Доля обучающихся, систематически занимающихся физической культурой и спортом, в общей численности обучающихся</w:t>
      </w:r>
    </w:p>
    <w:p w:rsidR="009D29CF" w:rsidRPr="00D61539" w:rsidRDefault="009D29CF" w:rsidP="00D61539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В целом по району доля обучающихся, систематически занимающихся физической культурой и спортом, в общей численности, обучающихся в 2019 году составила 100 </w:t>
      </w:r>
      <w:r w:rsidR="00D47F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(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2018 году – 100 %). В районе все обучающиеся занимаются физической</w:t>
      </w:r>
      <w:r w:rsidR="00D47F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культурой и спортом.</w:t>
      </w:r>
    </w:p>
    <w:p w:rsidR="009D29CF" w:rsidRDefault="009D29CF" w:rsidP="00D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VI. Жилищное строительство и обеспечение граждан жильем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lang w:eastAsia="en-US"/>
        </w:rPr>
        <w:t>Общая площадь жилых помещений, приходящаяся в среднем на одного жителя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За отчетный период введено 3660 кв.</w:t>
      </w:r>
      <w:r w:rsidR="00EC7F6B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м общей площади жилья, что составило 235,1 % к уровню 2018 года.   Застройка ведется индивидуальными застройщиками. В 2019 году введено 33 индивидуальных жилых домов.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Общая площадь жилых помещений, приходящаяся в среднем на одного жителя </w:t>
      </w:r>
      <w:r w:rsidR="00D47FDE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за 2019 год,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составила 27,06 кв.</w:t>
      </w:r>
      <w:r w:rsidR="00EC7F6B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м.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 данным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Красноярскстата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2019 году жилищный фонд района увеличился на 0,19</w:t>
      </w:r>
      <w:r w:rsidR="00D47F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% по сравнению с 2018 годом и составил 349,27 тыс. кв.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метров. В 2020 году планируется ввести 3843 кв.</w:t>
      </w:r>
      <w:r w:rsidR="00EC7F6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 жилья, в 2021 году -</w:t>
      </w:r>
      <w:r w:rsidR="00D47F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4035 кв.</w:t>
      </w:r>
      <w:r w:rsidR="00EC7F6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м., в 2022  году</w:t>
      </w:r>
      <w:r w:rsidR="00D47FD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- 4237 кв.</w:t>
      </w:r>
      <w:r w:rsidR="00EC7F6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61539" w:rsidRDefault="00D61539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1061"/>
        <w:gridCol w:w="992"/>
        <w:gridCol w:w="992"/>
        <w:gridCol w:w="1134"/>
        <w:gridCol w:w="1080"/>
        <w:gridCol w:w="27"/>
      </w:tblGrid>
      <w:tr w:rsidR="009D29CF">
        <w:tc>
          <w:tcPr>
            <w:tcW w:w="4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Значение показателя</w:t>
            </w:r>
          </w:p>
        </w:tc>
      </w:tr>
      <w:tr w:rsidR="009D29CF">
        <w:trPr>
          <w:gridAfter w:val="1"/>
          <w:wAfter w:w="27" w:type="dxa"/>
          <w:trHeight w:val="960"/>
        </w:trPr>
        <w:tc>
          <w:tcPr>
            <w:tcW w:w="4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2018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2019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2020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2021 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2022 прогноз</w:t>
            </w:r>
          </w:p>
        </w:tc>
      </w:tr>
      <w:tr w:rsidR="009D29CF">
        <w:trPr>
          <w:gridAfter w:val="1"/>
          <w:wAfter w:w="27" w:type="dxa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1.общая площадь жилых помещений, всего на конец года, </w:t>
            </w:r>
            <w:r w:rsidR="009B0532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   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кв.</w:t>
            </w:r>
            <w:r w:rsidR="009B0532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348600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349270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353113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357148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361385</w:t>
            </w:r>
          </w:p>
        </w:tc>
      </w:tr>
      <w:tr w:rsidR="009D29CF">
        <w:trPr>
          <w:gridAfter w:val="1"/>
          <w:wAfter w:w="27" w:type="dxa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2. Численность постоянного населения муниципального района на конец отчетного года, чел.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13064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12446</w:t>
            </w:r>
          </w:p>
        </w:tc>
      </w:tr>
      <w:tr w:rsidR="009D29CF">
        <w:trPr>
          <w:gridAfter w:val="1"/>
          <w:wAfter w:w="27" w:type="dxa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3. общая площадь жилых помещений, приходящаяся в среднем на одного жителя, кв.</w:t>
            </w:r>
            <w:r w:rsidR="009B0532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м.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28,35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29,04</w:t>
            </w:r>
          </w:p>
        </w:tc>
      </w:tr>
    </w:tbl>
    <w:p w:rsidR="009D29CF" w:rsidRPr="00D61539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в том числе введенная в действие за один год</w:t>
      </w: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Общая </w:t>
      </w:r>
      <w:r w:rsidR="002336AB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площадь жилых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 помещений, приходящаяся в среднем на одного жителя, введенная в действие за 2019 год составила 0,28 кв.</w:t>
      </w:r>
      <w:r w:rsidR="009B0532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м. Показател</w:t>
      </w:r>
      <w:r w:rsidR="00D61539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ь повысился к уровню 2018 года.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1061"/>
        <w:gridCol w:w="992"/>
        <w:gridCol w:w="992"/>
        <w:gridCol w:w="992"/>
        <w:gridCol w:w="1276"/>
      </w:tblGrid>
      <w:tr w:rsidR="009D29CF" w:rsidTr="00D61539">
        <w:tc>
          <w:tcPr>
            <w:tcW w:w="4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Значение показателя</w:t>
            </w:r>
          </w:p>
        </w:tc>
      </w:tr>
      <w:tr w:rsidR="009D29CF" w:rsidTr="00D61539">
        <w:trPr>
          <w:trHeight w:val="960"/>
        </w:trPr>
        <w:tc>
          <w:tcPr>
            <w:tcW w:w="4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2018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2019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2020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2021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2022 прогноз</w:t>
            </w:r>
          </w:p>
        </w:tc>
      </w:tr>
      <w:tr w:rsidR="009D29CF" w:rsidTr="00D61539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1.Введено всего,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в том числе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4237</w:t>
            </w:r>
          </w:p>
        </w:tc>
      </w:tr>
      <w:tr w:rsidR="009D29CF" w:rsidTr="00D61539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1.1индивидуальное жилищное строительство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4237</w:t>
            </w:r>
          </w:p>
        </w:tc>
      </w:tr>
      <w:tr w:rsidR="009D29CF" w:rsidTr="00D61539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1.2 многоквартирное строительство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</w:tr>
      <w:tr w:rsidR="009D29CF" w:rsidTr="00D61539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2.Среднегодовая численность постоянного населения ,чел.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13159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12522</w:t>
            </w:r>
          </w:p>
        </w:tc>
      </w:tr>
      <w:tr w:rsidR="009D29CF" w:rsidTr="00D61539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3. Общая площадь жилых помещений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.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 введенная в действие за один год. Приходящаяся в среднем на одного жителя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0.34</w:t>
            </w:r>
          </w:p>
        </w:tc>
      </w:tr>
    </w:tbl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Pr="00D61539" w:rsidRDefault="009D29CF" w:rsidP="00D6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D61539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Площадь земельных участков, предоставленных для строительства, в расчете на 10 тыс. человек населения</w:t>
      </w:r>
    </w:p>
    <w:p w:rsidR="009D29CF" w:rsidRDefault="009D29CF" w:rsidP="00D61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Площадь земельных участков, предоставленных для строительства, в расчете на 10 тыс. человек населения в 2018 году составляет </w:t>
      </w:r>
      <w:r w:rsidR="00D61539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0 га, в 2019 году -  2,047 га.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943"/>
        <w:gridCol w:w="823"/>
        <w:gridCol w:w="1276"/>
        <w:gridCol w:w="1276"/>
        <w:gridCol w:w="1276"/>
      </w:tblGrid>
      <w:tr w:rsidR="009D29CF">
        <w:tc>
          <w:tcPr>
            <w:tcW w:w="39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55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Значение показателя</w:t>
            </w:r>
          </w:p>
        </w:tc>
      </w:tr>
      <w:tr w:rsidR="009D29CF">
        <w:tc>
          <w:tcPr>
            <w:tcW w:w="39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2018 факт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2019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2020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2021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2022 прогноз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lastRenderedPageBreak/>
              <w:t>1.Площадь земельных участков, предоставленных для строительства, всего: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    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2,6577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0,5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1.1.для жилищного строительства (в </w:t>
            </w:r>
            <w:proofErr w:type="spellStart"/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т.ч</w:t>
            </w:r>
            <w:proofErr w:type="spellEnd"/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. для   ИЖС)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0,5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1.2.для комплексного освоения в целях жилищного строительства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1.3.для строительства объектов, не являющихся объектами жилищного строительства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2.Среднегодовая численность постоянного населения, 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13159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12522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3.Площадь  земельных участков, предоставленных для строительства, в расчете на 10 тыс.</w:t>
            </w:r>
            <w:r w:rsidR="009B0532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человек населения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0,4</w:t>
            </w:r>
          </w:p>
        </w:tc>
      </w:tr>
      <w:tr w:rsidR="009D29CF"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</w:t>
            </w:r>
            <w:r w:rsidR="009B0532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человек населения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0,4</w:t>
            </w:r>
          </w:p>
        </w:tc>
      </w:tr>
    </w:tbl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</w:p>
    <w:p w:rsidR="009D29CF" w:rsidRPr="00217CB5" w:rsidRDefault="00217CB5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в </w:t>
      </w:r>
      <w:r w:rsidR="009D29CF"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Для строительства индивидуальных жилых домов на территории с. Дзержинское осваивались свободные от застройки территории в установленных границах населенного пункта на южной и юго-западной окраинах существующей застройки с. Дзержинское.  С 2019 года осваиваются новые участки в северной части с. Дзержинское.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17CB5" w:rsidRDefault="009D29CF" w:rsidP="0021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Случаев невыдачи разрешения на ввод в эксплуатацию объектов жилищного строительства в течение 3 лет, иных объектов капитального стр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оительства в течение 5 лет нет.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объектов жилищного строительства - в течение 3 лет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80"/>
        <w:gridCol w:w="1440"/>
        <w:gridCol w:w="2155"/>
        <w:gridCol w:w="1418"/>
        <w:gridCol w:w="1110"/>
        <w:gridCol w:w="1583"/>
      </w:tblGrid>
      <w:tr w:rsidR="009D29CF">
        <w:tc>
          <w:tcPr>
            <w:tcW w:w="101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26.1. Площадь земельных участков, предоставленных для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жилищного строительства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3 лет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, кв.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м.</w:t>
            </w:r>
          </w:p>
        </w:tc>
      </w:tr>
      <w:tr w:rsidR="009D29C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Наименование и строительный адрес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Площадь земельного участка, 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     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кв.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Дата принятия решения о предоставлении земельного участка или подписания протокола о результатах торгов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lastRenderedPageBreak/>
              <w:t>(конкурсов, аукционов)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lastRenderedPageBreak/>
              <w:t>Дата выдачи разрешения на строительство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Срок действия разрешения на строительство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Общая площадь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 xml:space="preserve">жилищного строительства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на предоставленном земельном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lastRenderedPageBreak/>
              <w:t>участке, кв.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м. (проектная)</w:t>
            </w:r>
          </w:p>
        </w:tc>
      </w:tr>
      <w:tr w:rsidR="009D29CF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</w:tr>
      <w:tr w:rsidR="009D29CF">
        <w:trPr>
          <w:trHeight w:val="27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</w:tr>
      <w:tr w:rsidR="009D29CF">
        <w:trPr>
          <w:trHeight w:val="2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ИТОГО</w:t>
            </w:r>
          </w:p>
        </w:tc>
      </w:tr>
    </w:tbl>
    <w:p w:rsidR="009D29CF" w:rsidRPr="00217CB5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иных объектов капитального строительства - в течение 5 лет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733"/>
        <w:gridCol w:w="1391"/>
        <w:gridCol w:w="2294"/>
        <w:gridCol w:w="1701"/>
        <w:gridCol w:w="2410"/>
      </w:tblGrid>
      <w:tr w:rsidR="009D29CF">
        <w:tc>
          <w:tcPr>
            <w:tcW w:w="10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26.2. Площадь земельных участков, предоставленных для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иных объектов капитального строительства, в отношении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5 лет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, кв.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м.</w:t>
            </w:r>
          </w:p>
        </w:tc>
      </w:tr>
      <w:tr w:rsidR="009D29CF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Площадь земельных участков, кв.</w:t>
            </w:r>
            <w:r w:rsidR="00001117"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Дата выдачи разрешения на 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Срок действия разрешения на строительство</w:t>
            </w:r>
          </w:p>
        </w:tc>
      </w:tr>
      <w:tr w:rsidR="009D29CF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</w:tr>
      <w:tr w:rsidR="009D29CF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</w:tr>
      <w:tr w:rsidR="009D29CF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Х</w:t>
            </w:r>
          </w:p>
        </w:tc>
      </w:tr>
    </w:tbl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</w:p>
    <w:p w:rsidR="009D29CF" w:rsidRDefault="009D29CF" w:rsidP="0023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>VII. Жилищно-коммунальное хозяйство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конкурентной среды в сфере жилищно-коммунального хозяйства.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>непосредственное управление;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>управление товариществом собственников жилья, или жилищным кооперативом, или иным специализированным потребительским кооперативом;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>управление управляющей организацией.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/>
          <w:bCs/>
          <w:i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</w:t>
      </w:r>
      <w:r w:rsidR="002336A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% 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от числа многоквартирных домов.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lastRenderedPageBreak/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электроснабжению. водоотведению.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</w:t>
      </w:r>
      <w:r w:rsidR="009C1527"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территории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городского округа (муниципального района)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На территории района находится 5 организаций ж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илищно-коммунального комплекса.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4007F" w:rsidRDefault="0004007F" w:rsidP="0004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04007F" w:rsidRDefault="0004007F" w:rsidP="00040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Расшифровка значений показателя, используемых при расчете: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482"/>
        <w:gridCol w:w="993"/>
        <w:gridCol w:w="1134"/>
        <w:gridCol w:w="1134"/>
        <w:gridCol w:w="992"/>
        <w:gridCol w:w="1417"/>
      </w:tblGrid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№ п/п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2018</w:t>
            </w:r>
          </w:p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2019</w:t>
            </w:r>
          </w:p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2020</w:t>
            </w:r>
          </w:p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2021</w:t>
            </w:r>
          </w:p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2022</w:t>
            </w:r>
          </w:p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прогноз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Общее число многоквартирных домов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br/>
              <w:t>по состоянию на конец отчетного периода, единиц (стр. 1.1+1.2),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1.1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дома блокированной застройки (по данным статистического отчета 1-жилфонд строка 01 графа 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1.2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многоквартирные дома, имеющие помещения общего пользования (по данным статистического отчета 1-жилфонд строка 01 графа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учет, ед. (стр. 2.1+стр. 2.2)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   2.1. 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дома блокированной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X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   2.2.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многоквартирные дома, имеющие помещения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15</w:t>
            </w:r>
          </w:p>
        </w:tc>
      </w:tr>
      <w:tr w:rsidR="0004007F" w:rsidTr="0004007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highlight w:val="yellow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 (стр. 2/стр.3*100)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07F" w:rsidRDefault="0004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100%</w:t>
            </w:r>
          </w:p>
        </w:tc>
      </w:tr>
    </w:tbl>
    <w:p w:rsidR="00217CB5" w:rsidRDefault="00217CB5" w:rsidP="0004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</w:pP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lastRenderedPageBreak/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674"/>
        <w:gridCol w:w="998"/>
        <w:gridCol w:w="993"/>
        <w:gridCol w:w="992"/>
        <w:gridCol w:w="709"/>
        <w:gridCol w:w="851"/>
      </w:tblGrid>
      <w:tr w:rsidR="009D29CF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№ п/п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Показатель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Значения показателя</w:t>
            </w:r>
          </w:p>
        </w:tc>
      </w:tr>
      <w:tr w:rsidR="009D29CF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2018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2019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2020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2021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2022</w:t>
            </w:r>
          </w:p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прогноз</w:t>
            </w:r>
          </w:p>
        </w:tc>
      </w:tr>
      <w:tr w:rsidR="009D29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по договору социального найма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br/>
              <w:t>в отчетном году,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</w:t>
            </w:r>
          </w:p>
        </w:tc>
      </w:tr>
      <w:tr w:rsidR="009D29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2. Численность населения (семей), состоящего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br/>
              <w:t xml:space="preserve">на учете в качестве нуждающегося в жилых помещениях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по договорам социального найма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>на конец прошлого года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,</w:t>
            </w:r>
            <w:r>
              <w:rPr>
                <w:rFonts w:ascii="Times New Roman CYR" w:eastAsiaTheme="minorHAnsi" w:hAnsi="Times New Roman CYR" w:cs="Times New Roman CYR"/>
                <w:b/>
                <w:bCs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чел. 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0400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52</w:t>
            </w:r>
          </w:p>
        </w:tc>
      </w:tr>
      <w:tr w:rsidR="009D29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u w:color="FF0000"/>
                <w:lang w:eastAsia="en-US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7,7</w:t>
            </w:r>
          </w:p>
        </w:tc>
      </w:tr>
    </w:tbl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2019 году увеличи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лась по сравнению с 2018 годом.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</w:p>
    <w:p w:rsidR="009D29CF" w:rsidRDefault="009D29CF" w:rsidP="0021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>VIII. Организация муниципального управления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В 2019 году наблюдается снижение доли налоговых и неналоговых доходов местного бюджета в общем объеме собственных доходов бюджета муниципального образования с 17,18 % до 16,34 %. 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S Sans Serif" w:eastAsiaTheme="minorHAnsi" w:hAnsi="MS Sans Serif" w:cs="MS Sans Serif"/>
          <w:sz w:val="16"/>
          <w:szCs w:val="16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Снижение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2019 году по сравнению с прошлым годом произошло за счет увеличения безвозмездных поступлений (субсидий) в общем объеме доходов бюджета на 123,3</w:t>
      </w:r>
      <w:r w:rsidR="004A003E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%, рост налоговых и неналоговых доходов составил всего 106,4</w:t>
      </w:r>
      <w:r w:rsidR="004A003E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%.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В целях увеличения доходов местного бюджета проводится работа по идентификации земельных участков, проведена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инвентаризация муниципального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имущества. Проводится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претензиционная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работа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по взысканию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задолженности за использование муниципального имущества. Согласно утвержденного графика межрайонной инспекцией ФНС России № 8 по Красноярскому краю проводятся заседания межведомственной комиссии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lastRenderedPageBreak/>
        <w:t>по сокращению недоимки по налогам и сборам и легализации заработной платы.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олнении расходных обязательств.</w:t>
      </w:r>
    </w:p>
    <w:p w:rsid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9D29CF" w:rsidRPr="00217CB5" w:rsidRDefault="00217CB5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  <w:t xml:space="preserve">            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На территории района организаций муниципальной формы собственности находящихся в стадии банкротства нет.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В 2019 году объем не завершенного в установленные сроки строительства, осуществляемого за счет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средств бюджета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муниципальн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ого района, отсутствует.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По итогам 2019 года, как и в предыдущие годы, просроченная кредиторская задолженность по оплате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труда отсутствует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,</w:t>
      </w:r>
      <w:r>
        <w:rPr>
          <w:rFonts w:ascii="Times New Roman CYR" w:eastAsiaTheme="minorHAnsi" w:hAnsi="Times New Roman CYR" w:cs="Times New Roman CYR"/>
          <w:b/>
          <w:bCs/>
          <w:i/>
          <w:iCs/>
          <w:color w:val="006600"/>
          <w:sz w:val="28"/>
          <w:szCs w:val="28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что свидетельствует о проведении органами местного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самоуправления ответственной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бюджетной политики.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            В 2019 году отмечен рост расходов на содержание работников органов местного самоуправления в расчете на одного жителя муниципального образования с 4603,01 рублей до 5309,94 рублей. Это обусловлено с ростом денежного содержания работников органов местного самоуправления, а </w:t>
      </w:r>
      <w:r w:rsidR="00354B0B"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>также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сокращением численности постоянного населения (естественное снижение населения – смертность превысила рождаемость и миграционный отток населения).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u w:color="FF0000"/>
          <w:lang w:eastAsia="en-US"/>
        </w:rPr>
        <w:t xml:space="preserve"> </w:t>
      </w:r>
      <w:r w:rsidR="00217CB5"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</w:t>
      </w:r>
      <w:r w:rsidR="00354B0B"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Theme="minorHAnsi" w:hAnsi="Arial CYR" w:cs="Arial CYR"/>
          <w:sz w:val="16"/>
          <w:szCs w:val="16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застройки, утвержден генеральный план с. Дзержинское. В 2018 году проведены работы и утвержден проект генерального плана Дзержинского сельсовета, Дзержинского района Красноярского края. В 2019 году разработаны генпланы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Курайского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и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lastRenderedPageBreak/>
        <w:t>Денисовского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сельсоветов, в настоящее время они находятся на стадии согласования. 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Удовлетворенность населения деятельностью местного самоуправления городского округа (муниципального района)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Уровень удовлетворенности населения Дзержинского района направлениями работы органов местного самоуправления за 2019 год составляет </w:t>
      </w:r>
      <w:r w:rsidR="00354B0B" w:rsidRP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58,3 </w:t>
      </w:r>
      <w:r w:rsidRP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% </w:t>
      </w:r>
      <w:r w:rsidR="00217CB5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от числа опрошенных.</w:t>
      </w:r>
    </w:p>
    <w:p w:rsidR="009D29CF" w:rsidRPr="00217CB5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Среднегодовая численность постоянного населения</w:t>
      </w:r>
    </w:p>
    <w:p w:rsidR="009D29CF" w:rsidRDefault="00217CB5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i/>
          <w:sz w:val="24"/>
          <w:szCs w:val="24"/>
          <w:u w:color="FF0000"/>
          <w:lang w:eastAsia="en-US"/>
        </w:rPr>
        <w:t xml:space="preserve"> 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В 2019 году среднегодовая численность постоянного населения района составила 12983 человека. Численность населения района на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протяжении последних</w:t>
      </w:r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лет постепенно сокращается. По сравнению с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2018 годом</w:t>
      </w:r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численность населения сократилась на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176 человек</w:t>
      </w:r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.  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В 2019 году родилось 156 детей, по сравнению с прошлым годом родилось на 11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детей больше, убыль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  <w:r w:rsidR="00354B0B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составила 64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человека.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</w:p>
    <w:p w:rsidR="009D29CF" w:rsidRDefault="009D29CF" w:rsidP="0021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>IX. Энергосбережение и повышение энергетической эффективности</w:t>
      </w:r>
    </w:p>
    <w:p w:rsidR="00217CB5" w:rsidRPr="00217CB5" w:rsidRDefault="00217CB5" w:rsidP="0021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12"/>
          <w:szCs w:val="12"/>
          <w:u w:color="FF0000"/>
          <w:lang w:eastAsia="en-US"/>
        </w:rPr>
      </w:pP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С 2014 года в крае осуществляется реализация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</w:t>
      </w:r>
      <w:r w:rsidR="00217CB5">
        <w:rPr>
          <w:rFonts w:ascii="Times New Roman CYR" w:eastAsiaTheme="minorHAnsi" w:hAnsi="Times New Roman CYR" w:cs="Times New Roman CYR"/>
          <w:color w:val="000000"/>
          <w:sz w:val="28"/>
          <w:szCs w:val="28"/>
          <w:u w:color="FF0000"/>
          <w:lang w:eastAsia="en-US"/>
        </w:rPr>
        <w:t>я энергетической эффективности.</w:t>
      </w:r>
    </w:p>
    <w:p w:rsidR="009D29CF" w:rsidRPr="00217CB5" w:rsidRDefault="009D29CF" w:rsidP="00217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color="FF0000"/>
          <w:lang w:eastAsia="en-US"/>
        </w:rPr>
        <w:t xml:space="preserve"> </w:t>
      </w:r>
      <w:r w:rsidRPr="00217CB5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A00599" w:rsidRDefault="009D29CF" w:rsidP="0021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 xml:space="preserve">Текущий показатель по холодной воде (39.4) увеличился по сравнению с 2018 годом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за счет улучшения качества воды (была установлена автоматическая установка для очистки артезианской воды).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>Холодное водоснабжение есть в 1 доме, объем потребления холодной воды 1106 куб.</w:t>
      </w:r>
      <w:r w:rsidR="00001117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 xml:space="preserve">м., в доме проживает 39 человек. В прогнозируемом </w:t>
      </w:r>
      <w:r w:rsidR="00A00599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>периоде 2020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>-2022 годов показатель</w:t>
      </w:r>
      <w:r w:rsidR="00217CB5"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 xml:space="preserve"> останется на уровне 2019 года.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Theme="minorHAnsi" w:hAnsi="Times New Roman CYR" w:cs="Times New Roman CYR"/>
          <w:sz w:val="24"/>
          <w:szCs w:val="24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u w:color="FF0000"/>
          <w:lang w:eastAsia="en-US"/>
        </w:rPr>
        <w:t>Расшифровка показателя №</w:t>
      </w:r>
      <w:r w:rsidR="00217CB5">
        <w:rPr>
          <w:rFonts w:ascii="Times New Roman CYR" w:eastAsiaTheme="minorHAnsi" w:hAnsi="Times New Roman CYR" w:cs="Times New Roman CYR"/>
          <w:sz w:val="24"/>
          <w:szCs w:val="24"/>
          <w:highlight w:val="white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u w:color="FF0000"/>
          <w:lang w:eastAsia="en-US"/>
        </w:rPr>
        <w:t>39.4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2485"/>
        <w:gridCol w:w="1559"/>
        <w:gridCol w:w="993"/>
        <w:gridCol w:w="992"/>
        <w:gridCol w:w="992"/>
        <w:gridCol w:w="1048"/>
        <w:gridCol w:w="1043"/>
      </w:tblGrid>
      <w:tr w:rsidR="009D29CF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2019 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2020 оценка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2021 прогноз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2022 прогноз</w:t>
            </w:r>
          </w:p>
        </w:tc>
      </w:tr>
      <w:tr w:rsidR="009D29CF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39.4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00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куб. метров</w:t>
            </w:r>
            <w:r w:rsidR="009D29CF"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28,35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28,35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28,35</w:t>
            </w:r>
          </w:p>
        </w:tc>
      </w:tr>
      <w:tr w:rsidR="009D29CF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куб.</w:t>
            </w:r>
            <w:r w:rsidR="00001117"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1106,0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1106,0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1106,0</w:t>
            </w:r>
          </w:p>
        </w:tc>
      </w:tr>
      <w:tr w:rsidR="009D29CF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</w:t>
            </w:r>
          </w:p>
        </w:tc>
      </w:tr>
    </w:tbl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</w:pP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lastRenderedPageBreak/>
        <w:t xml:space="preserve">Удельная величина потребления тепловой энергии рассчитана по нормативам, так как в многоквартирных домах отсутствуют коллективные приборы учета. Показатель тепловой энергии (39.2) в 2019 году уменьшился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в связи с утеплением помещений, замены окон на энергосберегающие стеклопакеты.</w:t>
      </w:r>
    </w:p>
    <w:p w:rsidR="00A00599" w:rsidRPr="003F6601" w:rsidRDefault="009D29CF" w:rsidP="003F66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highlight w:val="white"/>
          <w:u w:color="FF0000"/>
          <w:lang w:eastAsia="en-US"/>
        </w:rPr>
        <w:t>Прогнозируемые показатели на 2020-2022 годы останутся на уровне 2019 года, так как не планируется увеличение тепловых мощностей и количества потребителей данного ресурса.</w:t>
      </w:r>
    </w:p>
    <w:p w:rsidR="009D29CF" w:rsidRDefault="009D29CF" w:rsidP="003F660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  <w:u w:color="FF0000"/>
          <w:lang w:eastAsia="en-US"/>
        </w:rPr>
      </w:pP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3194"/>
        <w:gridCol w:w="1276"/>
        <w:gridCol w:w="850"/>
        <w:gridCol w:w="851"/>
        <w:gridCol w:w="850"/>
        <w:gridCol w:w="992"/>
        <w:gridCol w:w="851"/>
      </w:tblGrid>
      <w:tr w:rsidR="009D29CF" w:rsidTr="0030217C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2019 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2020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2021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2022 прогноз</w:t>
            </w:r>
          </w:p>
        </w:tc>
      </w:tr>
      <w:tr w:rsidR="009D29CF" w:rsidTr="0030217C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39.2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Гкал на 1 кв. метр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0,42</w:t>
            </w:r>
          </w:p>
        </w:tc>
      </w:tr>
      <w:tr w:rsidR="009D29CF" w:rsidTr="0030217C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объем потребленной тепловой энергии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4216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3615</w:t>
            </w:r>
          </w:p>
        </w:tc>
      </w:tr>
      <w:tr w:rsidR="009D29CF" w:rsidTr="0030217C">
        <w:trPr>
          <w:trHeight w:val="6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общая площадь жилых помещений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кв. метр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8605,2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8605,2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8605,2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8605,2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8605,2</w:t>
            </w:r>
          </w:p>
        </w:tc>
      </w:tr>
    </w:tbl>
    <w:p w:rsidR="009D29CF" w:rsidRDefault="003F6601" w:rsidP="003F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   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Объем потребления электрической энергии в многоквартирных домах в Дзержинском районе по данным ОАО «</w:t>
      </w:r>
      <w:proofErr w:type="spellStart"/>
      <w:r w:rsidR="009D29CF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Красноярскэнергосбыт</w:t>
      </w:r>
      <w:proofErr w:type="spellEnd"/>
      <w:r w:rsidR="009D29CF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» за 2019 год составил 447707,0 кВт, численность проживающих </w:t>
      </w:r>
      <w:r w:rsidR="00A00599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в многоквартирных домах,</w:t>
      </w:r>
      <w:r w:rsidR="009D29CF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 которым отпущен соответствующий энергетический ресурс, осталась на прежнем уровне.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Удельная величина потребления электроэнергии в 2019 году увеличилась по сравнению с 2018 годом. На период 2020-2022 годов показатель останется на уровне 2019 года.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eastAsiaTheme="minorHAnsi" w:hAnsi="Arial CYR" w:cs="Arial CYR"/>
          <w:sz w:val="20"/>
          <w:szCs w:val="20"/>
          <w:highlight w:val="white"/>
          <w:u w:color="FF0000"/>
          <w:lang w:eastAsia="en-US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035"/>
        <w:gridCol w:w="1251"/>
        <w:gridCol w:w="992"/>
        <w:gridCol w:w="992"/>
        <w:gridCol w:w="851"/>
        <w:gridCol w:w="850"/>
        <w:gridCol w:w="851"/>
      </w:tblGrid>
      <w:tr w:rsidR="009D29CF" w:rsidTr="0030217C">
        <w:trPr>
          <w:trHeight w:val="42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Наименование 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2019 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2020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2021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0"/>
                <w:szCs w:val="20"/>
                <w:highlight w:val="white"/>
                <w:u w:color="FF0000"/>
                <w:lang w:eastAsia="en-US"/>
              </w:rPr>
              <w:t>2022 прогноз</w:t>
            </w:r>
          </w:p>
        </w:tc>
      </w:tr>
      <w:tr w:rsidR="009D29CF" w:rsidTr="0030217C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39.1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электрическая энергия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 xml:space="preserve"> </w:t>
            </w:r>
            <w:r w:rsidR="00001117"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квтч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1270,70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1645,98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1645,98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1645,98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1645,98</w:t>
            </w:r>
          </w:p>
        </w:tc>
      </w:tr>
      <w:tr w:rsidR="009D29CF" w:rsidTr="0030217C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00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ind w:left="-100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 xml:space="preserve">345 630,0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447707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447707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447707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447707</w:t>
            </w:r>
          </w:p>
        </w:tc>
      </w:tr>
      <w:tr w:rsidR="009D29CF" w:rsidTr="0030217C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 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CF" w:rsidRDefault="009D2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highlight w:val="white"/>
                <w:u w:color="FF0000"/>
                <w:lang w:eastAsia="en-US"/>
              </w:rPr>
              <w:t>272</w:t>
            </w:r>
          </w:p>
        </w:tc>
      </w:tr>
    </w:tbl>
    <w:p w:rsidR="009D29CF" w:rsidRPr="0030217C" w:rsidRDefault="0030217C" w:rsidP="0030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 xml:space="preserve">         </w:t>
      </w:r>
      <w:r w:rsidR="009D29CF">
        <w:rPr>
          <w:rFonts w:ascii="Times New Roman CYR" w:eastAsiaTheme="minorHAnsi" w:hAnsi="Times New Roman CYR" w:cs="Times New Roman CYR"/>
          <w:sz w:val="28"/>
          <w:szCs w:val="28"/>
          <w:highlight w:val="white"/>
          <w:u w:color="FF0000"/>
          <w:lang w:eastAsia="en-US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3F6601" w:rsidRDefault="009D29CF" w:rsidP="003F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</w:pPr>
      <w:r w:rsidRPr="0030217C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3F6601" w:rsidRDefault="003F6601" w:rsidP="003F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</w:p>
    <w:p w:rsidR="003F6601" w:rsidRDefault="003F6601" w:rsidP="003F660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    </w:t>
      </w:r>
      <w:bookmarkStart w:id="0" w:name="_GoBack"/>
      <w:bookmarkEnd w:id="0"/>
      <w:r w:rsidR="009D29CF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Удельная величина потребления электроэнергии муниципальными </w:t>
      </w:r>
    </w:p>
    <w:p w:rsidR="009D29CF" w:rsidRPr="003F6601" w:rsidRDefault="009D29CF" w:rsidP="003F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бюджетными учреждениями в 2019 году уменьшилась по сравнению с 2018 годом. Объем потребления электрической энергии муниципальными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lastRenderedPageBreak/>
        <w:t xml:space="preserve">бюджетными учреждениями в 2019 году составил 2568,1 тыс. </w:t>
      </w:r>
      <w:r w:rsidR="00001117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квтч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, среднегодовая численность постоянного населения Дзержинского района 12986 человек.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  Снижение удельной величины потребления электроэнергии муниципальными бюджетными учреждениями достигнуто за счет следующих мероприятий:</w:t>
      </w:r>
    </w:p>
    <w:p w:rsidR="0030217C" w:rsidRDefault="0030217C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9D29CF" w:rsidRDefault="009D29CF" w:rsidP="009D29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замены ламп накаливания на более экономичные источники освещения;</w:t>
      </w:r>
    </w:p>
    <w:p w:rsidR="009D29CF" w:rsidRDefault="009D29CF" w:rsidP="009D29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исключение использования электрообогревательных приборов для целей отопления;</w:t>
      </w:r>
    </w:p>
    <w:p w:rsidR="009D29CF" w:rsidRDefault="009D29CF" w:rsidP="009D29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установки энергосберегающих насосов в системах отопления.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Суммарное количество тепловой энергии муниципальными бюджетными учреждениями за 2019 год составило: 4126,7 Гкал, общая площадь муниципальных учреждений на 2019 год 52694,02 кв.</w:t>
      </w:r>
      <w:r w:rsidR="00A00599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м. </w:t>
      </w:r>
    </w:p>
    <w:p w:rsidR="009D29CF" w:rsidRPr="0030217C" w:rsidRDefault="009D29CF" w:rsidP="0030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         Объем потребления холодной воды муниципальными БУ </w:t>
      </w:r>
      <w:r w:rsidR="0030217C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за 2019 год составил 12 500 м3.</w:t>
      </w:r>
    </w:p>
    <w:p w:rsidR="009D29CF" w:rsidRPr="0030217C" w:rsidRDefault="009D29CF" w:rsidP="0030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i/>
          <w:color w:val="000000"/>
          <w:sz w:val="12"/>
          <w:szCs w:val="12"/>
          <w:u w:color="FF0000"/>
          <w:lang w:eastAsia="en-US"/>
        </w:rPr>
      </w:pPr>
      <w:r w:rsidRPr="0030217C">
        <w:rPr>
          <w:rFonts w:ascii="Times New Roman CYR" w:eastAsiaTheme="minorHAnsi" w:hAnsi="Times New Roman CYR" w:cs="Times New Roman CYR"/>
          <w:bCs/>
          <w:i/>
          <w:color w:val="000000"/>
          <w:sz w:val="28"/>
          <w:szCs w:val="28"/>
          <w:u w:color="FF0000"/>
          <w:lang w:eastAsia="en-US"/>
        </w:rPr>
        <w:t xml:space="preserve">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 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 xml:space="preserve">         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В 2019 году организации культуры независимую оценку качества не проходили. Оценка 3-х организаций проводится в 2020 году.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       </w:t>
      </w:r>
      <w:r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В 2019 году организаций образования независимую оценку качества не проходили. Оценка 14 организаций (в том числе 1 образовательной </w:t>
      </w:r>
      <w:r w:rsidR="00A00599"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>организации в</w:t>
      </w:r>
      <w:r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  <w:t xml:space="preserve"> области культуры (ДШИ)) проводится в 2020 году.</w:t>
      </w: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Default="0042471E" w:rsidP="009D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u w:color="FF0000"/>
          <w:lang w:eastAsia="en-US"/>
        </w:rPr>
      </w:pPr>
    </w:p>
    <w:p w:rsidR="0042471E" w:rsidRPr="0042471E" w:rsidRDefault="0042471E" w:rsidP="0042471E">
      <w:pPr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42471E">
        <w:rPr>
          <w:rFonts w:ascii="Times New Roman" w:hAnsi="Times New Roman" w:cs="Times New Roman"/>
          <w:sz w:val="28"/>
          <w:szCs w:val="28"/>
        </w:rPr>
        <w:t>Временно исполняющий                                                                               обязанности главы района                                                                   В.Н.</w:t>
      </w:r>
      <w:r w:rsidR="0030217C">
        <w:rPr>
          <w:rFonts w:ascii="Times New Roman" w:hAnsi="Times New Roman" w:cs="Times New Roman"/>
          <w:sz w:val="28"/>
          <w:szCs w:val="28"/>
        </w:rPr>
        <w:t xml:space="preserve"> </w:t>
      </w:r>
      <w:r w:rsidRPr="0042471E">
        <w:rPr>
          <w:rFonts w:ascii="Times New Roman" w:hAnsi="Times New Roman" w:cs="Times New Roman"/>
          <w:sz w:val="28"/>
          <w:szCs w:val="28"/>
        </w:rPr>
        <w:t>Дергунов</w:t>
      </w: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Default="009D29CF" w:rsidP="009D29CF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p w:rsidR="009D29CF" w:rsidRDefault="009D29CF" w:rsidP="005A126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4A85" w:rsidRDefault="001A4A85"/>
    <w:sectPr w:rsidR="001A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88E3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63"/>
    <w:rsid w:val="00001117"/>
    <w:rsid w:val="0004007F"/>
    <w:rsid w:val="000F3413"/>
    <w:rsid w:val="001A4A85"/>
    <w:rsid w:val="001B64E1"/>
    <w:rsid w:val="00217CB5"/>
    <w:rsid w:val="002336AB"/>
    <w:rsid w:val="0030217C"/>
    <w:rsid w:val="00342658"/>
    <w:rsid w:val="00354B0B"/>
    <w:rsid w:val="003D2F17"/>
    <w:rsid w:val="003F6601"/>
    <w:rsid w:val="0042471E"/>
    <w:rsid w:val="004A003E"/>
    <w:rsid w:val="00584641"/>
    <w:rsid w:val="005A1263"/>
    <w:rsid w:val="008314CA"/>
    <w:rsid w:val="008C6947"/>
    <w:rsid w:val="008D0A82"/>
    <w:rsid w:val="009B0532"/>
    <w:rsid w:val="009C1527"/>
    <w:rsid w:val="009D29CF"/>
    <w:rsid w:val="00A002F3"/>
    <w:rsid w:val="00A00599"/>
    <w:rsid w:val="00A575E5"/>
    <w:rsid w:val="00B078F8"/>
    <w:rsid w:val="00BB1BDC"/>
    <w:rsid w:val="00C35204"/>
    <w:rsid w:val="00C67386"/>
    <w:rsid w:val="00CB49E1"/>
    <w:rsid w:val="00CF3DE3"/>
    <w:rsid w:val="00D47FDE"/>
    <w:rsid w:val="00D56E51"/>
    <w:rsid w:val="00D61539"/>
    <w:rsid w:val="00D72A9C"/>
    <w:rsid w:val="00DC189A"/>
    <w:rsid w:val="00DF7F4F"/>
    <w:rsid w:val="00EC7F6B"/>
    <w:rsid w:val="00F5662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91BC"/>
  <w15:chartTrackingRefBased/>
  <w15:docId w15:val="{99CD7A35-C48A-428B-817D-822225D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6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98AF~1\AppData\Local\Temp\AISREGION\www.adm-dzerg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87D8-E2EB-4730-A978-A2EB4DAB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cp:lastPrinted>2020-05-15T04:22:00Z</cp:lastPrinted>
  <dcterms:created xsi:type="dcterms:W3CDTF">2020-04-22T07:19:00Z</dcterms:created>
  <dcterms:modified xsi:type="dcterms:W3CDTF">2020-05-15T04:25:00Z</dcterms:modified>
</cp:coreProperties>
</file>